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891064" cy="124515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1064" cy="1245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           </w:t>
        <w:tab/>
        <w:t xml:space="preserve">Start of School Checklist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Day before the School Starts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Double check room numbers in Master Schedule Section (Run AERIES report)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Procedure for students that did not complete the registration process established and communicated to all staff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schedules printed for students that completed the registration process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Procedure for students that have double period or missing established and communicated to staff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Day School Starts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Attendance tables initialized, teachers can take attendance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Day School Starts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Plan to make contact and drop “No Show” established and communicated to all office staff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Procedure for students to make schedule changes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your Course Management Portal (CMP) and NCAA Portal to ensure all your A-G and NCAA approved courses match with is offered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2318.4" w:left="1080" w:right="1209.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